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25BC89" w14:textId="77777777" w:rsidR="00957F33" w:rsidRDefault="00205CDF">
      <w:pPr>
        <w:spacing w:line="240" w:lineRule="auto"/>
        <w:ind w:left="9" w:firstLineChars="291" w:firstLine="698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СИСТЕМА ПОДДЕРЖКИ ОДАРЁННЫХ ДЕТЕЙ </w:t>
      </w:r>
    </w:p>
    <w:p w14:paraId="2FBEB39B" w14:textId="77777777" w:rsidR="00957F33" w:rsidRDefault="00205CDF">
      <w:pPr>
        <w:spacing w:line="240" w:lineRule="auto"/>
        <w:ind w:left="9" w:firstLineChars="291" w:firstLine="698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ОБЛАСТИ ФИЗИЧЕСКОГО РАЗВИТИЯ</w:t>
      </w:r>
    </w:p>
    <w:p w14:paraId="41FD00FF" w14:textId="77777777" w:rsidR="00957F33" w:rsidRDefault="00205CDF">
      <w:pPr>
        <w:pStyle w:val="afff6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 А. Александрова, инструктор </w:t>
      </w:r>
    </w:p>
    <w:p w14:paraId="221C1F9D" w14:textId="77777777" w:rsidR="00957F33" w:rsidRDefault="00205CDF">
      <w:pPr>
        <w:pStyle w:val="afff6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физической культуре,</w:t>
      </w:r>
    </w:p>
    <w:p w14:paraId="2BF58FDF" w14:textId="77777777" w:rsidR="00957F33" w:rsidRDefault="00205CDF">
      <w:pPr>
        <w:pStyle w:val="afff6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К.Н. Кистер, воспитатель </w:t>
      </w:r>
    </w:p>
    <w:p w14:paraId="069D1C95" w14:textId="77777777" w:rsidR="00957F33" w:rsidRDefault="00205CDF">
      <w:pPr>
        <w:pStyle w:val="afff6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</w:t>
      </w:r>
    </w:p>
    <w:p w14:paraId="545E26F1" w14:textId="77777777" w:rsidR="00957F33" w:rsidRDefault="00205CDF">
      <w:pPr>
        <w:pStyle w:val="afff6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14:paraId="3B08C8D6" w14:textId="77777777" w:rsidR="00957F33" w:rsidRDefault="00205CDF">
      <w:pPr>
        <w:pStyle w:val="afff6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19 комбинированного вида»</w:t>
      </w:r>
    </w:p>
    <w:p w14:paraId="5B0D990D" w14:textId="77777777" w:rsidR="00957F33" w:rsidRDefault="00205CDF">
      <w:pPr>
        <w:pStyle w:val="afff6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sz w:val="24"/>
          <w:szCs w:val="24"/>
        </w:rPr>
        <w:t>Краснотурьинск</w:t>
      </w:r>
    </w:p>
    <w:p w14:paraId="33B5635C" w14:textId="77777777" w:rsidR="00957F33" w:rsidRDefault="00957F33">
      <w:pPr>
        <w:spacing w:line="240" w:lineRule="auto"/>
        <w:ind w:left="9" w:firstLineChars="291" w:firstLine="698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0B19FE1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Аннотация</w:t>
      </w:r>
      <w:r>
        <w:rPr>
          <w:rFonts w:ascii="Times New Roman" w:hAnsi="Times New Roman" w:cs="Times New Roman"/>
        </w:rPr>
        <w:t xml:space="preserve"> </w:t>
      </w:r>
    </w:p>
    <w:p w14:paraId="494F6450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статье рассмотрены важнейшие аспекты выявления и комплексного сопровождения одарённых детей в области физического развития — от диагностики до создания условий для их всестороннего роста. </w:t>
      </w:r>
    </w:p>
    <w:p w14:paraId="05C82848" w14:textId="3060AC76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Актуальность</w:t>
      </w:r>
      <w:r>
        <w:rPr>
          <w:rFonts w:ascii="Times New Roman" w:hAnsi="Times New Roman" w:cs="Times New Roman"/>
        </w:rPr>
        <w:t xml:space="preserve"> данной темы обусловлен</w:t>
      </w:r>
      <w:r w:rsidR="009F56D6">
        <w:rPr>
          <w:rFonts w:ascii="Times New Roman" w:hAnsi="Times New Roman" w:cs="Times New Roman"/>
        </w:rPr>
        <w:t>а</w:t>
      </w:r>
      <w:r w:rsidR="006C394B">
        <w:rPr>
          <w:rFonts w:ascii="Times New Roman" w:hAnsi="Times New Roman" w:cs="Times New Roman"/>
        </w:rPr>
        <w:t xml:space="preserve"> потребностью раннего выявления физических талантов </w:t>
      </w:r>
      <w:r w:rsidR="006A2C9A">
        <w:rPr>
          <w:rFonts w:ascii="Times New Roman" w:hAnsi="Times New Roman" w:cs="Times New Roman"/>
        </w:rPr>
        <w:t>посредством сотрудничества всех субъектов образовательн</w:t>
      </w:r>
      <w:r w:rsidR="00BF5A24">
        <w:rPr>
          <w:rFonts w:ascii="Times New Roman" w:hAnsi="Times New Roman" w:cs="Times New Roman"/>
        </w:rPr>
        <w:t xml:space="preserve">ых отношений при взаимодействии с социальным окружением в целях развития </w:t>
      </w:r>
      <w:r w:rsidR="001B5A65">
        <w:rPr>
          <w:rFonts w:ascii="Times New Roman" w:hAnsi="Times New Roman" w:cs="Times New Roman"/>
        </w:rPr>
        <w:t xml:space="preserve">одарённости в области физического развития детей </w:t>
      </w:r>
      <w:r w:rsidR="00872B02">
        <w:rPr>
          <w:rFonts w:ascii="Times New Roman" w:hAnsi="Times New Roman" w:cs="Times New Roman"/>
        </w:rPr>
        <w:t>старшего дошкольного возраста.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ABE161D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Главная цель системы поддержки одарённых детей - повысить качество отбора детей с явно выраженными физическими способностями, чтобы обеспечить им долгосрочную и результативную поддержку. При этом важно создавать индивидуальные условия, учитывающие уникальность каждого ребёнка, его таланты и потребности, что способствует максимальному раскрытию потенциала. Такая работа не только формирует спортивные резервы страны, но и воспитывает здоровых и целеустремлённых лидеров, способных достигать высоких успехов на н</w:t>
      </w:r>
      <w:r>
        <w:rPr>
          <w:rFonts w:ascii="Times New Roman" w:hAnsi="Times New Roman" w:cs="Times New Roman"/>
        </w:rPr>
        <w:t>ациональном и международном уровнях.</w:t>
      </w:r>
    </w:p>
    <w:p w14:paraId="19634D13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Важнейшая задача – обеспечивать точную и своевременную диагностику способностей с помощью систематического наблюдения за физическим развитием. Инновационные и индивидуальные образовательные маршруты разрабатываются на основе полученных данных наблюдений с постоянным отслеживанием достижений, что позволяет адаптировать обучение под индивидуальные особенности ребёнка. Помимо этого, непрерывное совершенствование инфраструктуры дополнительного образования открывает больше возможностей для тренировок и участия в</w:t>
      </w:r>
      <w:r>
        <w:rPr>
          <w:rFonts w:ascii="Times New Roman" w:hAnsi="Times New Roman" w:cs="Times New Roman"/>
        </w:rPr>
        <w:t xml:space="preserve"> соревнованиях, способствуя полноценному развитию.</w:t>
      </w:r>
    </w:p>
    <w:p w14:paraId="11909305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Одарённость в сфере физического развития раскрывается в различных формах: кто-то выделяется выдающейся скоростью и выносливостью с ранних лет, другой — уникальными координационными навыками или талантом к командным видам спорта. Истории успешных спортсменов часто начинаются с малого—заметных успехов на дошкольных, а впоследствии школьных соревнованиях или в любительских клубах и спортивных секциях, а оценка одарённости требует комплексного понимания физических, психических и эмоциональных особенностей ребён</w:t>
      </w:r>
      <w:r>
        <w:rPr>
          <w:rFonts w:ascii="Times New Roman" w:hAnsi="Times New Roman" w:cs="Times New Roman"/>
        </w:rPr>
        <w:t>ка, что позволяет не только определить уровень способностей, но и сформировать оптимальные пути развития.</w:t>
      </w:r>
    </w:p>
    <w:p w14:paraId="7264D45F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этапы выявления физической одарённости в области физического развития, такие как:</w:t>
      </w:r>
    </w:p>
    <w:p w14:paraId="21342B23" w14:textId="77777777" w:rsidR="00957F33" w:rsidRDefault="00205CDF">
      <w:pPr>
        <w:numPr>
          <w:ilvl w:val="0"/>
          <w:numId w:val="11"/>
        </w:num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Наблюдение</w:t>
      </w:r>
      <w:r>
        <w:rPr>
          <w:rFonts w:ascii="Times New Roman" w:hAnsi="Times New Roman" w:cs="Times New Roman"/>
        </w:rPr>
        <w:t>, которое проводится педагогами и инструктором по физической культуре т.е. вовремя занятий по физкультуре, проведения различных подвижных и эстафетных игр, где фиксируются проявления необычных способностей, нестандартного поведения, быстрого усвоения материала и интереса к определенным областям знания.</w:t>
      </w:r>
    </w:p>
    <w:p w14:paraId="6967A379" w14:textId="77777777" w:rsidR="00957F33" w:rsidRDefault="00205CDF">
      <w:pPr>
        <w:numPr>
          <w:ilvl w:val="0"/>
          <w:numId w:val="11"/>
        </w:num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Диагностика</w:t>
      </w:r>
      <w:r>
        <w:rPr>
          <w:rFonts w:ascii="Times New Roman" w:hAnsi="Times New Roman" w:cs="Times New Roman"/>
        </w:rPr>
        <w:t xml:space="preserve"> предполагает использование специальных методик и тестов для оценки уровня интеллектуального, физического потенциала ребёнка. Здесь применяются психологические тесты, интервьюирование, наблюдение за поведением и выполнением заданий.</w:t>
      </w:r>
    </w:p>
    <w:p w14:paraId="47F736EB" w14:textId="77777777" w:rsidR="00957F33" w:rsidRDefault="00205CDF">
      <w:pPr>
        <w:numPr>
          <w:ilvl w:val="0"/>
          <w:numId w:val="11"/>
        </w:num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Консультация родителей</w:t>
      </w:r>
      <w:r>
        <w:rPr>
          <w:rFonts w:ascii="Times New Roman" w:hAnsi="Times New Roman" w:cs="Times New Roman"/>
        </w:rPr>
        <w:t xml:space="preserve"> специалиста по ФК или педагогов, которые предоставляют рекомендации относительно дальнейшего развития и поддержки выявленных способностей.</w:t>
      </w:r>
    </w:p>
    <w:p w14:paraId="7202A6AA" w14:textId="77777777" w:rsidR="00957F33" w:rsidRDefault="00205CDF">
      <w:pPr>
        <w:numPr>
          <w:ilvl w:val="0"/>
          <w:numId w:val="11"/>
        </w:num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Поддержка и развитие</w:t>
      </w:r>
      <w:r>
        <w:rPr>
          <w:rFonts w:ascii="Times New Roman" w:hAnsi="Times New Roman" w:cs="Times New Roman"/>
        </w:rPr>
        <w:t xml:space="preserve"> осуществляется посредством разработки индивидуальных образовательных маршрутов. В которые  включаются дополнительное образование, участие в конкурсах, олимпиадах, научных конференциях и спортивных мероприятиях, направленных на раскрытие и поддержку особых способностей.</w:t>
      </w:r>
    </w:p>
    <w:p w14:paraId="6AC0CB08" w14:textId="77777777" w:rsidR="00957F33" w:rsidRDefault="00205CDF">
      <w:pPr>
        <w:numPr>
          <w:ilvl w:val="0"/>
          <w:numId w:val="11"/>
        </w:num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Мониторинг прогресса</w:t>
      </w:r>
      <w:r>
        <w:rPr>
          <w:rFonts w:ascii="Times New Roman" w:hAnsi="Times New Roman" w:cs="Times New Roman"/>
        </w:rPr>
        <w:t xml:space="preserve"> успехов ребёнка помогает отслеживать динамику его развития, своевременно реагировать на изменения и корректировать стратегию сопровождения. </w:t>
      </w:r>
    </w:p>
    <w:p w14:paraId="0139D4BE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Одним из инструментов диагностики физических способностей для объективной оценки физических возможностей детей является многоуровневая методика, включающая тесты на силу, выносливость, координацию, гибкость и другие важные показатели. </w:t>
      </w:r>
    </w:p>
    <w:p w14:paraId="22A3208B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Эффективное сопровождение основано на нескольких критически важных компонентах: профессиональная консультация и поддержка инструктора по физической культуре всех субъектов образовательных отношений, а также взаимодействие с социальным окружением спортивной направленности.</w:t>
      </w:r>
    </w:p>
    <w:p w14:paraId="67242BB8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повышения заинтересованности воспитанников и улучшения качества занятий физической культурой активно применялись разнообразные формы мероприятий. Например, регулярно устраивались увлекательные тематические игры, такие как «В поисках пиратского флага» и «Юные спасатели». </w:t>
      </w:r>
    </w:p>
    <w:p w14:paraId="71AE1229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Кроме того, особое значение придавалось организации спортивных активностей на свежем воздухе, включая использование самокатов и велосипедов. Особое внимание было уделено популяризации футбола: воспитанники принимали участие в дружеских матчах между группами детского образовательного учреждения.</w:t>
      </w:r>
    </w:p>
    <w:p w14:paraId="3DFBAF06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Спортивные эстафетные соревнования проходили не только внутри дошкольной образовательной среды, но и вне её пределов, в частности, на площадке школьного спортивного корта средней общеобразовательной школы № 19. В рамках взаимодействия педагоги активно сотрудничали с учителем физического воспитания указанной школы — Голубевым Евгением Викторовичем.</w:t>
      </w:r>
    </w:p>
    <w:p w14:paraId="7B764408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Помимо этого, успешно осуществлён проект «Юные чемпионы ГТО», направленный на подготовку ребят к успешному выполнению нормативов комплекса ГТО первой ступени. Проект длился две недели и состоял из теоретической части и практических тренировок. Все дети успешно справились с заданиями и получили золотые знаки отличия ГТО.</w:t>
      </w:r>
    </w:p>
    <w:p w14:paraId="031CD25C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Активное участие педагогов также является одним из ключевых механизмов поддержки одарённых детей. Воспитателем группы Кристиной Николаевной были организованы </w:t>
      </w:r>
      <w:r>
        <w:rPr>
          <w:rFonts w:ascii="Times New Roman" w:hAnsi="Times New Roman" w:cs="Times New Roman"/>
          <w:b/>
          <w:bCs/>
        </w:rPr>
        <w:t xml:space="preserve">мастер-классы: </w:t>
      </w:r>
      <w:r>
        <w:rPr>
          <w:rFonts w:ascii="Times New Roman" w:hAnsi="Times New Roman" w:cs="Times New Roman"/>
        </w:rPr>
        <w:t>«Хоккей не только для мальчишек» с приглашённым спортсменом Серовской хоккейной команды «Металлург» Козловым Максимом.</w:t>
      </w:r>
    </w:p>
    <w:p w14:paraId="03BEB2D2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bookmarkStart w:id="0" w:name="_Hlk220280844"/>
      <w:r>
        <w:rPr>
          <w:rFonts w:ascii="Times New Roman" w:hAnsi="Times New Roman" w:cs="Times New Roman"/>
          <w:b/>
          <w:bCs/>
        </w:rPr>
        <w:t xml:space="preserve">Мастер-класс </w:t>
      </w:r>
      <w:r>
        <w:rPr>
          <w:rFonts w:ascii="Times New Roman" w:hAnsi="Times New Roman" w:cs="Times New Roman"/>
        </w:rPr>
        <w:t xml:space="preserve">по знакомству с тхэквондо «Энергия движения» </w:t>
      </w:r>
      <w:bookmarkEnd w:id="0"/>
      <w:r>
        <w:rPr>
          <w:rFonts w:ascii="Times New Roman" w:hAnsi="Times New Roman" w:cs="Times New Roman"/>
        </w:rPr>
        <w:t>с участием ныне действующего золотого призёра Чемпионата и Первенства России Кистер Виктора.</w:t>
      </w:r>
    </w:p>
    <w:p w14:paraId="45DED9E3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также с целью популяризации и привлечения детей к занятию спортом были проведены нетрадиционные для ДОУ спортивные мероприятия на базе учреждения дополнительного образования «Спортивной школы Маяк». Тренера-преподаватели провели для детей учебно-тренировочные занятия по хоккею с мячом.</w:t>
      </w:r>
    </w:p>
    <w:p w14:paraId="1159C1C2" w14:textId="493369F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Воспитанники неоднократно принимали участие в муниципальных спортивных мероприятиях: «Кросс нации», «Лыжня России</w:t>
      </w:r>
      <w:r w:rsidR="00B5384E">
        <w:rPr>
          <w:rFonts w:ascii="Times New Roman" w:hAnsi="Times New Roman" w:cs="Times New Roman"/>
        </w:rPr>
        <w:t>», «</w:t>
      </w:r>
      <w:r>
        <w:rPr>
          <w:rFonts w:ascii="Times New Roman" w:hAnsi="Times New Roman" w:cs="Times New Roman"/>
        </w:rPr>
        <w:t>День физкультурника». На базе спорт комплекса «Газовик», проведены «Весёлые старты» где победили в номинации «Самые быстрые»</w:t>
      </w:r>
      <w:r w:rsidR="00B5384E">
        <w:rPr>
          <w:rFonts w:ascii="Times New Roman" w:hAnsi="Times New Roman" w:cs="Times New Roman"/>
        </w:rPr>
        <w:t>.</w:t>
      </w:r>
    </w:p>
    <w:p w14:paraId="3B6AF409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Принимали участие в военно-спортивной игре «</w:t>
      </w:r>
      <w:proofErr w:type="spellStart"/>
      <w:r>
        <w:rPr>
          <w:rFonts w:ascii="Times New Roman" w:hAnsi="Times New Roman" w:cs="Times New Roman"/>
        </w:rPr>
        <w:t>Зарничка</w:t>
      </w:r>
      <w:proofErr w:type="spellEnd"/>
      <w:r>
        <w:rPr>
          <w:rFonts w:ascii="Times New Roman" w:hAnsi="Times New Roman" w:cs="Times New Roman"/>
        </w:rPr>
        <w:t>» 2025, где заняли почётное 2 место. «Футбольная весна» 2024 и 2025, где стали абсолютными чемпионами сезона. Так же ребята достойно поучаствовали в пятом Открытом Первенстве среди образовательных учреждений РФ и стран ближнего Зарубежья «ЛИГА ЧЕМПИОНОВ-2024» и среди 7000</w:t>
      </w:r>
      <w:r>
        <w:rPr>
          <w:rFonts w:ascii="Times New Roman" w:hAnsi="Times New Roman" w:cs="Times New Roman"/>
        </w:rPr>
        <w:softHyphen/>
        <w:t xml:space="preserve">-и </w:t>
      </w:r>
      <w:r>
        <w:rPr>
          <w:rFonts w:ascii="Times New Roman" w:hAnsi="Times New Roman" w:cs="Times New Roman"/>
        </w:rPr>
        <w:lastRenderedPageBreak/>
        <w:t>тысяч участников и вошли в топ-300-от лучших. Совокупность всех этих факторов формирует сбалансированную среду для гармоничного развития одарённости.</w:t>
      </w:r>
    </w:p>
    <w:p w14:paraId="1120DED4" w14:textId="521DF745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развития одарённости в области физического развития важную роль играет дополнительное образование.  Спортивные секции и кружки предоставляют специализированные тренировки </w:t>
      </w:r>
      <w:r w:rsidR="00B5384E">
        <w:rPr>
          <w:rFonts w:ascii="Times New Roman" w:hAnsi="Times New Roman" w:cs="Times New Roman"/>
        </w:rPr>
        <w:t>на развитие</w:t>
      </w:r>
      <w:r>
        <w:rPr>
          <w:rFonts w:ascii="Times New Roman" w:hAnsi="Times New Roman" w:cs="Times New Roman"/>
        </w:rPr>
        <w:t xml:space="preserve"> физических навыки и координацию. Стимулируют обмен опытом и развитие мотивации через социальные взаимодействия, что крайне важно для формирования устойчивой спортивной идентичности. </w:t>
      </w:r>
    </w:p>
    <w:p w14:paraId="35113186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Индивидуальные беседы с родителями, регулярные походы в спортивные секции и общение с профессиональными спортсменами сыграли значительную роль в определении детьми своего спортивного пути. </w:t>
      </w:r>
    </w:p>
    <w:p w14:paraId="6FA5B898" w14:textId="1FA31DB2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Приведём успешные примеры сопровождения одарённых детей. Воспитанники МАДОУ № 19 МО Краснотурьинск старшего дошкольного возраста демонстрируют достижения на начальном этапе спортивного становления: воспитанница </w:t>
      </w:r>
      <w:r w:rsidR="00B5384E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катерина Б. проявила себя в хоккее, став успешным вратарём команды «Факел». Примечательно, что в составе этой же команды выступают ещё трое её товарищей из группы. </w:t>
      </w:r>
      <w:r w:rsidR="00B5384E">
        <w:rPr>
          <w:rFonts w:ascii="Times New Roman" w:hAnsi="Times New Roman" w:cs="Times New Roman"/>
        </w:rPr>
        <w:t>За счёт правильной организации взаимодействия педагогов и семьи</w:t>
      </w:r>
      <w:r>
        <w:rPr>
          <w:rFonts w:ascii="Times New Roman" w:hAnsi="Times New Roman" w:cs="Times New Roman"/>
        </w:rPr>
        <w:t xml:space="preserve"> Александр Г. добивается высоких результатов в секции каратэ «Белые Волки», становясь призёром спортивных турниров. В центре спортивных единоборств «Сокол» занимается Матвей Л. и после выпуска из детского сада. Ещё один воспитанник, Никита Л. занимается футболом в спортивном клубе «Г</w:t>
      </w:r>
      <w:r>
        <w:rPr>
          <w:rFonts w:ascii="Times New Roman" w:hAnsi="Times New Roman" w:cs="Times New Roman"/>
        </w:rPr>
        <w:t>азовик». Полина С. раскрывает таланты в области спортивно-танцевального искусства, демонстрируя успехи на соответствующих мероприятиях.</w:t>
      </w:r>
    </w:p>
    <w:p w14:paraId="43A79408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Евгений Т., занимаясь в группе дополнительного образования по шахматам, активно участвует в городских соревнованиях, включая турнир «Белая Ладья», а также выступал на областных состязаниях. Из 22 воспитанников нашей группы спортивные секции начали посещать, ещё будучи в детском саду 8 человек, продолжая заниматься уже после выпускного. Эти примеры служат убедительным доказательством эффективности нашей системы выявления и развития способностей каждого ребёнка.</w:t>
      </w:r>
    </w:p>
    <w:p w14:paraId="0EE6D7A4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</w:rPr>
        <w:t xml:space="preserve">Так же одним из ключевых механизмов является активное участие семьи, обеспечивающей эмоциональную и моральную поддержку при реализации индивидуального образовательного маршрута в области спортивной направленности. Работа с родителями осуществляется в различных направлениях, через </w:t>
      </w:r>
      <w:r>
        <w:rPr>
          <w:rFonts w:ascii="Times New Roman" w:hAnsi="Times New Roman" w:cs="Times New Roman"/>
        </w:rPr>
        <w:t>проведение родительских собраний, а именно через практикумы, например, «Использование нетрадиционного оборудования в образовательной деятельности с воспитанниками ДОУ», «Зарядка, это важно», «Мяч простой предмет, но такой важный». Истории успеха многих молодых спортсменов подтверждают, что семья — первый и самый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надёжный ресурс на пути к спортивным вершинам.</w:t>
      </w:r>
    </w:p>
    <w:p w14:paraId="48EB7529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Статистика подтверждает, что большая часть родителей активно участвует в поддержке своих одарённых детей, что оказывает значительное влияние на мотивацию и успехи в спорте. Взаимодействие семьи с педагогами и специалистами ДОУ способствует созданию благоприятных условий для раскрытия потенциала ребёнка, укрепляет его уверенность и настойчивость.</w:t>
      </w:r>
    </w:p>
    <w:p w14:paraId="0BFA83C8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3A709B5" wp14:editId="7A2C4DA6">
            <wp:simplePos x="0" y="0"/>
            <wp:positionH relativeFrom="column">
              <wp:posOffset>581025</wp:posOffset>
            </wp:positionH>
            <wp:positionV relativeFrom="paragraph">
              <wp:posOffset>31750</wp:posOffset>
            </wp:positionV>
            <wp:extent cx="4957445" cy="3260090"/>
            <wp:effectExtent l="9525" t="9525" r="16510" b="22225"/>
            <wp:wrapThrough wrapText="bothSides">
              <wp:wrapPolygon edited="0">
                <wp:start x="-42" y="-63"/>
                <wp:lineTo x="-42" y="21545"/>
                <wp:lineTo x="21606" y="21545"/>
                <wp:lineTo x="21606" y="-63"/>
                <wp:lineTo x="-42" y="-63"/>
              </wp:wrapPolygon>
            </wp:wrapThrough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249E59FD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69EEF994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0FE9853A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0CA8A91D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3D6C6300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021EC9F3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723625AC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225032BF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79B78C25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11886194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3814213D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774BFD05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39369D2E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Механизмы повышения качества сопровождения талантливых детей реализуются посредством обмена данными среди всех участников образовательной среды. Родители своевременно получают информацию о проведённых спортивно-физкультурных событиях благодаря личным страницам официального портала дошкольного учреждения, социальной сети «ВКонтакте», групповым и индивидуальным родительским чатам. Это способствует укреплению взаимодействия, быстрой реакции на потребности семей и гибкой коррекции индивидуальных образовательных</w:t>
      </w:r>
      <w:r>
        <w:rPr>
          <w:rFonts w:ascii="Times New Roman" w:hAnsi="Times New Roman"/>
        </w:rPr>
        <w:t xml:space="preserve"> маршрутов воспитанников. </w:t>
      </w:r>
    </w:p>
    <w:p w14:paraId="7F38CAFE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Но не нужно забывать и о трудностях </w:t>
      </w:r>
      <w:r>
        <w:rPr>
          <w:rFonts w:ascii="Times New Roman" w:hAnsi="Times New Roman" w:cs="Times New Roman"/>
        </w:rPr>
        <w:t xml:space="preserve">на пути развития одарённости детей и одним из значимых факторов является уровень мотивации родителей. Взрослые испытывают ограничения во времени, необходимые для регулярного посещения ребёнком специализированных секций и кружков. </w:t>
      </w:r>
    </w:p>
    <w:p w14:paraId="40D077F2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Ещё одним препятствий на пути повышения эффективности работы с одарёнными детьми в сфере физической подготовки выступает дефицит высококвалифицированных кадров. </w:t>
      </w:r>
    </w:p>
    <w:p w14:paraId="18965A8E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 ситуация осложняется недостаточностью финансирования дошкольных образовательных организаций, что негативно отражается на приобретении необходимого спортивного оборудования. </w:t>
      </w:r>
    </w:p>
    <w:p w14:paraId="5B1CB2AE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Особое внимание заслуживает взаимодействие между детскими садами и профессиональными спортивными организациями. </w:t>
      </w:r>
    </w:p>
    <w:p w14:paraId="76FFA6C8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Оно существенно затрудняется наличием сложных административных процедур и отсутствием чётких организационных схем взаимодействия. Это проявляется, например, в трудностях организации транспортировки воспитанников к местам тренировок, специализированным центрам и другим объектам спортивной инфраструктуры, что замедляет формирование эффективной системы сотрудничества и обмена опытом между учебными заведениями и спортшколами.</w:t>
      </w:r>
    </w:p>
    <w:p w14:paraId="48AE443C" w14:textId="77777777" w:rsidR="00957F33" w:rsidRDefault="00205CDF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В заключении хочется отметить, что </w:t>
      </w:r>
      <w:r>
        <w:rPr>
          <w:rFonts w:ascii="Times New Roman" w:hAnsi="Times New Roman" w:cs="Times New Roman"/>
        </w:rPr>
        <w:t>комплексный подход как ключ успеха, объединяющий раннее выявление талантов, активное участие семьи и педагогов, а также современную спортивную инфраструктуру, является необходимым фундаментом для полноценного развития физических способностей одарённых детей. Такой системный взгляд создаёт не только условия для достижения высоких результатов, но и формирует здоровые привычки, укрепляет мотивацию и желание совершенствоваться, что в итоге приносит устойчивый вклад в развитие общества и будущих поколений.</w:t>
      </w:r>
    </w:p>
    <w:p w14:paraId="607C9C1E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277E2170" w14:textId="77777777" w:rsidR="00957F33" w:rsidRDefault="00205CDF">
      <w:pPr>
        <w:spacing w:line="240" w:lineRule="auto"/>
        <w:ind w:left="9" w:firstLineChars="291" w:firstLine="69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Список источников:</w:t>
      </w:r>
    </w:p>
    <w:p w14:paraId="2CD586CD" w14:textId="77777777" w:rsidR="00957F33" w:rsidRDefault="00205CDF">
      <w:pPr>
        <w:numPr>
          <w:ilvl w:val="0"/>
          <w:numId w:val="12"/>
        </w:numPr>
        <w:tabs>
          <w:tab w:val="clear" w:pos="425"/>
        </w:tabs>
        <w:spacing w:line="240" w:lineRule="auto"/>
        <w:ind w:left="9" w:firstLineChars="291" w:firstLine="6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Минпросвещения Российской Федерации. Методические рекомендации по выявлению и сопровождению одарённых детей в области физического развития.2023.</w:t>
      </w:r>
    </w:p>
    <w:p w14:paraId="16A13A65" w14:textId="77777777" w:rsidR="00957F33" w:rsidRDefault="00205CDF">
      <w:pPr>
        <w:numPr>
          <w:ilvl w:val="0"/>
          <w:numId w:val="12"/>
        </w:numPr>
        <w:tabs>
          <w:tab w:val="clear" w:pos="425"/>
        </w:tabs>
        <w:spacing w:line="240" w:lineRule="auto"/>
        <w:ind w:left="9" w:firstLineChars="291" w:firstLine="6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спорта Российской Федерации. Отчёт о развитии детско-юношеского спорта, 2023.</w:t>
      </w:r>
    </w:p>
    <w:p w14:paraId="4249F8F4" w14:textId="77777777" w:rsidR="00957F33" w:rsidRDefault="00205CDF">
      <w:pPr>
        <w:numPr>
          <w:ilvl w:val="0"/>
          <w:numId w:val="12"/>
        </w:numPr>
        <w:tabs>
          <w:tab w:val="clear" w:pos="425"/>
        </w:tabs>
        <w:spacing w:line="240" w:lineRule="auto"/>
        <w:ind w:left="9" w:firstLineChars="291" w:firstLine="6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Петров В.И., Смирнова Е.А. Особенности выявления и поддержки одарённости в физическом воспитании детей. Журнал «Физическое воспитание и спорт», 2022, №4.</w:t>
      </w:r>
    </w:p>
    <w:p w14:paraId="2AE06E53" w14:textId="77777777" w:rsidR="00957F33" w:rsidRDefault="00205CDF">
      <w:pPr>
        <w:numPr>
          <w:ilvl w:val="0"/>
          <w:numId w:val="12"/>
        </w:numPr>
        <w:tabs>
          <w:tab w:val="clear" w:pos="425"/>
        </w:tabs>
        <w:spacing w:line="240" w:lineRule="auto"/>
        <w:ind w:left="9" w:firstLineChars="291" w:firstLine="6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Иванов А. Н. Роль семьи в формировании спортивного потенциала ребёнка. Вестник спортивной науки, 2021, том 15, стр. 112–120.</w:t>
      </w:r>
    </w:p>
    <w:p w14:paraId="7EF53D24" w14:textId="77777777" w:rsidR="00957F33" w:rsidRDefault="00205CDF">
      <w:pPr>
        <w:numPr>
          <w:ilvl w:val="0"/>
          <w:numId w:val="12"/>
        </w:numPr>
        <w:tabs>
          <w:tab w:val="clear" w:pos="425"/>
        </w:tabs>
        <w:spacing w:line="240" w:lineRule="auto"/>
        <w:ind w:left="9" w:firstLineChars="291" w:firstLine="6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Иванов В.П. Особенности развития одарённых детей в России. – Москва: Просвещение, 2021.</w:t>
      </w:r>
    </w:p>
    <w:p w14:paraId="213789DD" w14:textId="77777777" w:rsidR="00957F33" w:rsidRDefault="00205CDF">
      <w:pPr>
        <w:numPr>
          <w:ilvl w:val="0"/>
          <w:numId w:val="12"/>
        </w:numPr>
        <w:tabs>
          <w:tab w:val="clear" w:pos="425"/>
        </w:tabs>
        <w:spacing w:line="240" w:lineRule="auto"/>
        <w:ind w:left="9" w:firstLineChars="291" w:firstLine="6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Петрова Е.А. Современные методы выявления спортивной одарённости. – СПб.: Наука, 2022.</w:t>
      </w:r>
    </w:p>
    <w:p w14:paraId="6AB09975" w14:textId="77777777" w:rsidR="00957F33" w:rsidRDefault="00205CDF">
      <w:pPr>
        <w:numPr>
          <w:ilvl w:val="0"/>
          <w:numId w:val="12"/>
        </w:numPr>
        <w:tabs>
          <w:tab w:val="clear" w:pos="425"/>
        </w:tabs>
        <w:spacing w:line="240" w:lineRule="auto"/>
        <w:ind w:left="9" w:firstLineChars="291" w:firstLine="6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Семёнова М. В. Взаимодействие семьи и педагогов в развитии ребёнка. – Журнал «Педагогика и психология», 2023, №4.</w:t>
      </w:r>
    </w:p>
    <w:p w14:paraId="13FC03DC" w14:textId="77777777" w:rsidR="00957F33" w:rsidRDefault="00205CDF">
      <w:pPr>
        <w:numPr>
          <w:ilvl w:val="0"/>
          <w:numId w:val="12"/>
        </w:numPr>
        <w:tabs>
          <w:tab w:val="clear" w:pos="425"/>
        </w:tabs>
        <w:spacing w:line="240" w:lineRule="auto"/>
        <w:ind w:left="9" w:firstLineChars="291" w:firstLine="6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Федеральный центр образования и спорта. Аналитический обзор: поддержка детского спорта в регионах России,2023.</w:t>
      </w:r>
    </w:p>
    <w:p w14:paraId="462CC70B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3EDCCCB5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37A6222F" w14:textId="77777777" w:rsidR="00957F33" w:rsidRDefault="00957F33">
      <w:pPr>
        <w:spacing w:line="240" w:lineRule="auto"/>
        <w:ind w:left="9" w:firstLineChars="291" w:firstLine="698"/>
        <w:contextualSpacing/>
        <w:jc w:val="both"/>
        <w:rPr>
          <w:rFonts w:ascii="Times New Roman" w:hAnsi="Times New Roman" w:cs="Times New Roman"/>
        </w:rPr>
      </w:pPr>
    </w:p>
    <w:p w14:paraId="7B7A2429" w14:textId="77777777" w:rsidR="00957F33" w:rsidRDefault="00957F33">
      <w:pPr>
        <w:spacing w:line="240" w:lineRule="auto"/>
        <w:ind w:left="9" w:firstLineChars="291" w:firstLine="698"/>
        <w:contextualSpacing/>
        <w:jc w:val="both"/>
      </w:pPr>
    </w:p>
    <w:p w14:paraId="17CA36DA" w14:textId="77777777" w:rsidR="00957F33" w:rsidRDefault="00957F33">
      <w:pPr>
        <w:spacing w:line="240" w:lineRule="auto"/>
        <w:ind w:left="9" w:firstLineChars="291" w:firstLine="698"/>
        <w:contextualSpacing/>
        <w:jc w:val="both"/>
      </w:pPr>
    </w:p>
    <w:sectPr w:rsidR="00957F33">
      <w:footerReference w:type="default" r:id="rId8"/>
      <w:pgSz w:w="11906" w:h="16838"/>
      <w:pgMar w:top="1134" w:right="1134" w:bottom="1134" w:left="1134" w:header="720" w:footer="1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38ECF" w14:textId="77777777" w:rsidR="00205CDF" w:rsidRDefault="00205CDF">
      <w:pPr>
        <w:spacing w:line="240" w:lineRule="auto"/>
      </w:pPr>
      <w:r>
        <w:separator/>
      </w:r>
    </w:p>
  </w:endnote>
  <w:endnote w:type="continuationSeparator" w:id="0">
    <w:p w14:paraId="3DBC3ADB" w14:textId="77777777" w:rsidR="00205CDF" w:rsidRDefault="00205C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555932"/>
    </w:sdtPr>
    <w:sdtEndPr/>
    <w:sdtContent>
      <w:p w14:paraId="2D6D576B" w14:textId="77777777" w:rsidR="00957F33" w:rsidRDefault="00205CDF">
        <w:pPr>
          <w:pStyle w:val="af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BF63EF" w14:textId="77777777" w:rsidR="00957F33" w:rsidRDefault="00957F33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B1BD" w14:textId="77777777" w:rsidR="00205CDF" w:rsidRDefault="00205CDF">
      <w:pPr>
        <w:spacing w:after="0"/>
      </w:pPr>
      <w:r>
        <w:separator/>
      </w:r>
    </w:p>
  </w:footnote>
  <w:footnote w:type="continuationSeparator" w:id="0">
    <w:p w14:paraId="04B3E474" w14:textId="77777777" w:rsidR="00205CDF" w:rsidRDefault="00205C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D2264"/>
    <w:multiLevelType w:val="singleLevel"/>
    <w:tmpl w:val="826D226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E056118"/>
    <w:multiLevelType w:val="singleLevel"/>
    <w:tmpl w:val="6E05611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num w:numId="1" w16cid:durableId="985740314">
    <w:abstractNumId w:val="1"/>
  </w:num>
  <w:num w:numId="2" w16cid:durableId="1919897782">
    <w:abstractNumId w:val="3"/>
  </w:num>
  <w:num w:numId="3" w16cid:durableId="74935125">
    <w:abstractNumId w:val="2"/>
  </w:num>
  <w:num w:numId="4" w16cid:durableId="902905984">
    <w:abstractNumId w:val="5"/>
  </w:num>
  <w:num w:numId="5" w16cid:durableId="412897385">
    <w:abstractNumId w:val="6"/>
  </w:num>
  <w:num w:numId="6" w16cid:durableId="1137648412">
    <w:abstractNumId w:val="10"/>
  </w:num>
  <w:num w:numId="7" w16cid:durableId="91820212">
    <w:abstractNumId w:val="8"/>
  </w:num>
  <w:num w:numId="8" w16cid:durableId="1511600642">
    <w:abstractNumId w:val="7"/>
  </w:num>
  <w:num w:numId="9" w16cid:durableId="1867018768">
    <w:abstractNumId w:val="9"/>
  </w:num>
  <w:num w:numId="10" w16cid:durableId="946540832">
    <w:abstractNumId w:val="4"/>
  </w:num>
  <w:num w:numId="11" w16cid:durableId="1859661096">
    <w:abstractNumId w:val="11"/>
  </w:num>
  <w:num w:numId="12" w16cid:durableId="166281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05C"/>
    <w:rsid w:val="00050A31"/>
    <w:rsid w:val="000657E6"/>
    <w:rsid w:val="000716D2"/>
    <w:rsid w:val="00071AAB"/>
    <w:rsid w:val="00082D67"/>
    <w:rsid w:val="000A4F11"/>
    <w:rsid w:val="000B187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B17FB"/>
    <w:rsid w:val="001B5A65"/>
    <w:rsid w:val="00201333"/>
    <w:rsid w:val="00205CDF"/>
    <w:rsid w:val="00210FA7"/>
    <w:rsid w:val="00216417"/>
    <w:rsid w:val="00247640"/>
    <w:rsid w:val="002511CE"/>
    <w:rsid w:val="0026631D"/>
    <w:rsid w:val="002B7F6D"/>
    <w:rsid w:val="002C2F53"/>
    <w:rsid w:val="0033518C"/>
    <w:rsid w:val="003437C2"/>
    <w:rsid w:val="00377186"/>
    <w:rsid w:val="003A1C03"/>
    <w:rsid w:val="003B7548"/>
    <w:rsid w:val="00414627"/>
    <w:rsid w:val="00425D63"/>
    <w:rsid w:val="004643D8"/>
    <w:rsid w:val="0047323A"/>
    <w:rsid w:val="0048413A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5E5418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2212"/>
    <w:rsid w:val="006A2C9A"/>
    <w:rsid w:val="006A35A7"/>
    <w:rsid w:val="006C394B"/>
    <w:rsid w:val="007152D7"/>
    <w:rsid w:val="00746C14"/>
    <w:rsid w:val="007C2C59"/>
    <w:rsid w:val="00801F23"/>
    <w:rsid w:val="00837632"/>
    <w:rsid w:val="0085640F"/>
    <w:rsid w:val="008567AA"/>
    <w:rsid w:val="00872B02"/>
    <w:rsid w:val="00892712"/>
    <w:rsid w:val="008A680A"/>
    <w:rsid w:val="008B0BB0"/>
    <w:rsid w:val="008E6C4B"/>
    <w:rsid w:val="008F18C0"/>
    <w:rsid w:val="00907648"/>
    <w:rsid w:val="00930FDE"/>
    <w:rsid w:val="00957F33"/>
    <w:rsid w:val="00984C93"/>
    <w:rsid w:val="00987CE1"/>
    <w:rsid w:val="0099405C"/>
    <w:rsid w:val="009C600F"/>
    <w:rsid w:val="009D3723"/>
    <w:rsid w:val="009E04F2"/>
    <w:rsid w:val="009F56D6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5384E"/>
    <w:rsid w:val="00B74876"/>
    <w:rsid w:val="00BB7C2B"/>
    <w:rsid w:val="00BC1664"/>
    <w:rsid w:val="00BC2546"/>
    <w:rsid w:val="00BF5A24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141A"/>
    <w:rsid w:val="00CF7953"/>
    <w:rsid w:val="00D07232"/>
    <w:rsid w:val="00D10245"/>
    <w:rsid w:val="00D1037C"/>
    <w:rsid w:val="00D11E83"/>
    <w:rsid w:val="00D21BDD"/>
    <w:rsid w:val="00D37AAE"/>
    <w:rsid w:val="00D65F07"/>
    <w:rsid w:val="00D92BB7"/>
    <w:rsid w:val="00DB1AE8"/>
    <w:rsid w:val="00DC76D2"/>
    <w:rsid w:val="00DD30ED"/>
    <w:rsid w:val="00E64C21"/>
    <w:rsid w:val="00E77D7F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55CA5"/>
    <w:rsid w:val="00F8455C"/>
    <w:rsid w:val="021A295A"/>
    <w:rsid w:val="0DDF2BCA"/>
    <w:rsid w:val="1D9860FF"/>
    <w:rsid w:val="1F5634F1"/>
    <w:rsid w:val="2D6C18F1"/>
    <w:rsid w:val="37EB5A14"/>
    <w:rsid w:val="3D2E204C"/>
    <w:rsid w:val="3D5E7869"/>
    <w:rsid w:val="534F6606"/>
    <w:rsid w:val="54705665"/>
    <w:rsid w:val="5EE073AD"/>
    <w:rsid w:val="667819D0"/>
    <w:rsid w:val="7AC574E2"/>
    <w:rsid w:val="7BA0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CC35A"/>
  <w15:docId w15:val="{9FBC0ACF-0782-4E51-BCAD-701248CE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 w:qFormat="1"/>
    <w:lsdException w:name="Table Simple 3" w:semiHidden="1" w:unhideWhenUsed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/>
    <w:lsdException w:name="Table List 5" w:semiHidden="1" w:unhideWhenUsed="1"/>
    <w:lsdException w:name="Table List 6" w:semiHidden="1" w:unhideWhenUsed="1" w:qFormat="1"/>
    <w:lsdException w:name="Table List 7" w:semiHidden="1" w:unhideWhenUsed="1" w:qFormat="1"/>
    <w:lsdException w:name="Table List 8" w:semiHidden="1" w:unhideWhenUsed="1"/>
    <w:lsdException w:name="Table 3D effects 1" w:semiHidden="1" w:unhideWhenUsed="1"/>
    <w:lsdException w:name="Table 3D effects 2" w:semiHidden="1" w:unhideWhenUsed="1" w:qFormat="1"/>
    <w:lsdException w:name="Table 3D effects 3" w:semiHidden="1" w:unhideWhenUsed="1"/>
    <w:lsdException w:name="Table Contemporary" w:semiHidden="1" w:unhideWhenUsed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 w:qFormat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spacing w:after="160"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kern w:val="0"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kern w:val="0"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kern w:val="0"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kern w:val="0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kern w:val="0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2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ind w:firstLineChars="125" w:firstLine="25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link w:val="aff7"/>
    <w:uiPriority w:val="99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8">
    <w:name w:val="List"/>
    <w:basedOn w:val="a1"/>
    <w:qFormat/>
    <w:pPr>
      <w:ind w:left="360" w:hanging="360"/>
    </w:pPr>
  </w:style>
  <w:style w:type="paragraph" w:styleId="aff9">
    <w:name w:val="Normal (Web)"/>
    <w:basedOn w:val="a1"/>
    <w:qFormat/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a">
    <w:name w:val="Subtitle"/>
    <w:basedOn w:val="a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fb">
    <w:name w:val="Signature"/>
    <w:basedOn w:val="a1"/>
    <w:qFormat/>
    <w:pPr>
      <w:ind w:left="4320"/>
    </w:pPr>
  </w:style>
  <w:style w:type="paragraph" w:styleId="affc">
    <w:name w:val="Salutation"/>
    <w:basedOn w:val="a1"/>
    <w:next w:val="a1"/>
    <w:qFormat/>
  </w:style>
  <w:style w:type="paragraph" w:styleId="28">
    <w:name w:val="List Continue 2"/>
    <w:basedOn w:val="a1"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d">
    <w:name w:val="Block Text"/>
    <w:basedOn w:val="a1"/>
    <w:qFormat/>
    <w:pPr>
      <w:spacing w:after="120"/>
      <w:ind w:left="1440" w:right="1440"/>
    </w:pPr>
  </w:style>
  <w:style w:type="paragraph" w:styleId="affe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afff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2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3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4">
    <w:name w:val="Table Contemporary"/>
    <w:basedOn w:val="a3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5">
    <w:name w:val="List Paragraph"/>
    <w:basedOn w:val="a1"/>
    <w:uiPriority w:val="34"/>
    <w:qFormat/>
    <w:pPr>
      <w:ind w:left="720"/>
      <w:contextualSpacing/>
    </w:pPr>
  </w:style>
  <w:style w:type="character" w:customStyle="1" w:styleId="aff7">
    <w:name w:val="Нижний колонтитул Знак"/>
    <w:basedOn w:val="a2"/>
    <w:link w:val="aff6"/>
    <w:uiPriority w:val="99"/>
    <w:qFormat/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styleId="afff6">
    <w:name w:val="No Spacing"/>
    <w:uiPriority w:val="1"/>
    <w:qFormat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52;&#1072;&#1090;&#1077;&#1088;&#1080;&#1072;&#1083;%20&#1076;&#1083;&#1103;%20&#1045;&#1052;&#1044;%202026%20&#1050;&#1080;&#1089;&#1090;&#1077;&#1088;,%20&#1040;&#1083;&#1077;&#1082;&#1089;&#1072;&#1085;&#1076;&#1088;&#1086;&#1074;&#1072;%20&#1058;.&#1040;\&#1051;&#1080;&#1089;&#1090;%20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4270526450621E-3"/>
          <c:y val="5.8433969614335802E-3"/>
          <c:w val="0.99231458947098805"/>
          <c:h val="0.7411764705882349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>
                    <a:lumMod val="40000"/>
                    <a:lumOff val="60000"/>
                  </a:schemeClr>
                </a:gs>
                <a:gs pos="90000">
                  <a:schemeClr val="accent1"/>
                </a:gs>
              </a:gsLst>
              <a:lin ang="5400000" scaled="0"/>
            </a:gradFill>
            <a:ln>
              <a:gradFill>
                <a:gsLst>
                  <a:gs pos="0">
                    <a:schemeClr val="accent1"/>
                  </a:gs>
                  <a:gs pos="100000">
                    <a:schemeClr val="accent1">
                      <a:lumMod val="75000"/>
                    </a:schemeClr>
                  </a:gs>
                </a:gsLst>
                <a:lin ang="5400000" scaled="1"/>
              </a:gradFill>
            </a:ln>
            <a:effectLst>
              <a:outerShdw blurRad="76200" dist="25400" dir="2700000" algn="tl" rotWithShape="0">
                <a:schemeClr val="accent1">
                  <a:lumMod val="50000"/>
                  <a:alpha val="30000"/>
                </a:scheme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gradFill>
                  <a:gsLst>
                    <a:gs pos="0">
                      <a:schemeClr val="accent1"/>
                    </a:gs>
                    <a:gs pos="100000">
                      <a:schemeClr val="accent1">
                        <a:lumMod val="75000"/>
                      </a:schemeClr>
                    </a:gs>
                  </a:gsLst>
                  <a:lin ang="5400000" scaled="1"/>
                </a:gradFill>
              </a:ln>
              <a:effectLst>
                <a:outerShdw blurRad="76200" dist="25400" dir="2700000" algn="tl" rotWithShape="0">
                  <a:schemeClr val="accent1">
                    <a:lumMod val="50000"/>
                    <a:alpha val="30000"/>
                  </a:scheme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3EE-4751-A9CD-D543BE69B7B0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gradFill>
                  <a:gsLst>
                    <a:gs pos="0">
                      <a:schemeClr val="accent1"/>
                    </a:gs>
                    <a:gs pos="100000">
                      <a:schemeClr val="accent1">
                        <a:lumMod val="75000"/>
                      </a:schemeClr>
                    </a:gs>
                  </a:gsLst>
                  <a:lin ang="5400000" scaled="1"/>
                </a:gradFill>
              </a:ln>
              <a:effectLst>
                <a:outerShdw blurRad="76200" dist="25400" dir="2700000" algn="tl" rotWithShape="0">
                  <a:schemeClr val="accent1">
                    <a:lumMod val="50000"/>
                    <a:alpha val="30000"/>
                  </a:scheme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3EE-4751-A9CD-D543BE69B7B0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gradFill>
                  <a:gsLst>
                    <a:gs pos="0">
                      <a:schemeClr val="accent1"/>
                    </a:gs>
                    <a:gs pos="100000">
                      <a:schemeClr val="accent1">
                        <a:lumMod val="75000"/>
                      </a:schemeClr>
                    </a:gs>
                  </a:gsLst>
                  <a:lin ang="5400000" scaled="1"/>
                </a:gradFill>
              </a:ln>
              <a:effectLst>
                <a:outerShdw blurRad="76200" dist="25400" dir="2700000" algn="tl" rotWithShape="0">
                  <a:schemeClr val="accent1">
                    <a:lumMod val="50000"/>
                    <a:alpha val="30000"/>
                  </a:scheme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3EE-4751-A9CD-D543BE69B7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'[Лист XLSX.xlsx]Sheet1'!$I$5:$I$7</c:f>
              <c:strCache>
                <c:ptCount val="3"/>
                <c:pt idx="0">
                  <c:v>Активно участвуют </c:v>
                </c:pt>
                <c:pt idx="1">
                  <c:v>Частично вовлечены</c:v>
                </c:pt>
                <c:pt idx="2">
                  <c:v>Пассивны</c:v>
                </c:pt>
              </c:strCache>
            </c:strRef>
          </c:cat>
          <c:val>
            <c:numRef>
              <c:f>'[Лист XLSX.xlsx]Sheet1'!$J$5:$J$7</c:f>
              <c:numCache>
                <c:formatCode>0%</c:formatCode>
                <c:ptCount val="3"/>
                <c:pt idx="0">
                  <c:v>0.6</c:v>
                </c:pt>
                <c:pt idx="1">
                  <c:v>0.22</c:v>
                </c:pt>
                <c:pt idx="2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3EE-4751-A9CD-D543BE69B7B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757318394"/>
        <c:axId val="509503984"/>
      </c:barChart>
      <c:catAx>
        <c:axId val="75731839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2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ru-RU"/>
          </a:p>
        </c:txPr>
        <c:crossAx val="509503984"/>
        <c:crosses val="autoZero"/>
        <c:auto val="1"/>
        <c:lblAlgn val="ctr"/>
        <c:lblOffset val="100"/>
        <c:noMultiLvlLbl val="0"/>
      </c:catAx>
      <c:valAx>
        <c:axId val="50950398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75731839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9db2107-9eb6-4fa4-a1ba-eefad45d176c}"/>
      </c:ext>
    </c:extLst>
  </c:chart>
  <c:spPr>
    <a:solidFill>
      <a:schemeClr val="bg1"/>
    </a:solidFill>
    <a:ln w="19050" cap="flat" cmpd="sng" algn="ctr">
      <a:solidFill>
        <a:schemeClr val="accent4"/>
      </a:solidFill>
      <a:prstDash val="solid"/>
      <a:miter lim="800000"/>
    </a:ln>
    <a:effectLst/>
    <a:sp3d>
      <a:extrusionClr>
        <a:srgbClr val="FFFFFF"/>
      </a:extrusionClr>
      <a:contourClr>
        <a:srgbClr val="FFFFFF"/>
      </a:contourClr>
    </a:sp3d>
  </c:spPr>
  <c:txPr>
    <a:bodyPr/>
    <a:lstStyle/>
    <a:p>
      <a:pPr>
        <a:defRPr lang="ru-RU" sz="1200">
          <a:solidFill>
            <a:schemeClr val="tx1"/>
          </a:solidFill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gradFill>
        <a:gsLst>
          <a:gs pos="0">
            <a:schemeClr val="phClr">
              <a:lumMod val="40000"/>
              <a:lumOff val="60000"/>
            </a:schemeClr>
          </a:gs>
          <a:gs pos="90000">
            <a:schemeClr val="phClr"/>
          </a:gs>
        </a:gsLst>
        <a:lin ang="5400000" scaled="0"/>
      </a:gradFill>
      <a:ln>
        <a:gradFill>
          <a:gsLst>
            <a:gs pos="0">
              <a:schemeClr val="phClr"/>
            </a:gs>
            <a:gs pos="100000">
              <a:schemeClr val="phClr">
                <a:lumMod val="75000"/>
              </a:schemeClr>
            </a:gs>
          </a:gsLst>
          <a:lin ang="5400000" scaled="1"/>
        </a:gradFill>
      </a:ln>
      <a:effectLst>
        <a:outerShdw blurRad="76200" dist="25400" dir="2700000" algn="tl" rotWithShape="0">
          <a:schemeClr val="phClr">
            <a:lumMod val="50000"/>
            <a:alpha val="30000"/>
          </a:schemeClr>
        </a:outerShdw>
      </a:effectLst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1944</Words>
  <Characters>11086</Characters>
  <Application>Microsoft Office Word</Application>
  <DocSecurity>0</DocSecurity>
  <Lines>92</Lines>
  <Paragraphs>26</Paragraphs>
  <ScaleCrop>false</ScaleCrop>
  <Company/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Александрова</cp:lastModifiedBy>
  <cp:revision>12</cp:revision>
  <cp:lastPrinted>2026-01-26T17:47:00Z</cp:lastPrinted>
  <dcterms:created xsi:type="dcterms:W3CDTF">2025-06-04T05:43:00Z</dcterms:created>
  <dcterms:modified xsi:type="dcterms:W3CDTF">2026-01-28T03:57:00Z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BB65700F75A84CC8B0EB4A9FE2150CE4_13</vt:lpwstr>
  </property>
</Properties>
</file>